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34" w:rsidRPr="009F07E0" w:rsidRDefault="009F07E0" w:rsidP="009F07E0">
      <w:pPr>
        <w:jc w:val="both"/>
        <w:rPr>
          <w:rFonts w:cstheme="minorHAnsi"/>
          <w:b/>
          <w:i/>
          <w:u w:val="single"/>
        </w:rPr>
      </w:pPr>
      <w:r w:rsidRPr="009F07E0">
        <w:rPr>
          <w:rFonts w:cstheme="minorHAnsi"/>
          <w:b/>
          <w:i/>
          <w:u w:val="single"/>
        </w:rPr>
        <w:t>Evaluación Interna: Exploración</w:t>
      </w:r>
    </w:p>
    <w:p w:rsidR="009F07E0" w:rsidRPr="009F07E0" w:rsidRDefault="009F07E0" w:rsidP="009F07E0">
      <w:pPr>
        <w:spacing w:before="100" w:beforeAutospacing="1" w:after="100" w:afterAutospacing="1" w:line="240" w:lineRule="auto"/>
        <w:ind w:left="2124" w:firstLine="708"/>
        <w:jc w:val="both"/>
        <w:outlineLvl w:val="1"/>
        <w:rPr>
          <w:rFonts w:eastAsia="Times New Roman" w:cstheme="minorHAnsi"/>
          <w:b/>
          <w:bCs/>
          <w:sz w:val="28"/>
          <w:szCs w:val="28"/>
          <w:lang w:eastAsia="es-EC"/>
        </w:rPr>
      </w:pPr>
      <w:r w:rsidRPr="009F07E0">
        <w:rPr>
          <w:rFonts w:eastAsia="Times New Roman" w:cstheme="minorHAnsi"/>
          <w:b/>
          <w:bCs/>
          <w:sz w:val="28"/>
          <w:szCs w:val="28"/>
          <w:lang w:eastAsia="es-EC"/>
        </w:rPr>
        <w:t xml:space="preserve">Criterios de evaluación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Cada exploración debe evaluarse según los cinco criterios siguientes.</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970"/>
        <w:gridCol w:w="2913"/>
      </w:tblGrid>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Criterio A</w:t>
            </w:r>
          </w:p>
        </w:tc>
        <w:tc>
          <w:tcPr>
            <w:tcW w:w="2868" w:type="dxa"/>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Comunicación</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Criterio B</w:t>
            </w:r>
          </w:p>
        </w:tc>
        <w:tc>
          <w:tcPr>
            <w:tcW w:w="2868" w:type="dxa"/>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Presentación matemática</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Criterio C</w:t>
            </w:r>
          </w:p>
        </w:tc>
        <w:tc>
          <w:tcPr>
            <w:tcW w:w="2868" w:type="dxa"/>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Compromiso personal</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Criterio D</w:t>
            </w:r>
          </w:p>
        </w:tc>
        <w:tc>
          <w:tcPr>
            <w:tcW w:w="2868" w:type="dxa"/>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Reflexión</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Criterio E</w:t>
            </w:r>
          </w:p>
        </w:tc>
        <w:tc>
          <w:tcPr>
            <w:tcW w:w="2868" w:type="dxa"/>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Uso de las matemáticas</w:t>
            </w:r>
          </w:p>
        </w:tc>
      </w:tr>
    </w:tbl>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A continuación se ofrecen las descripciones de los niveles de logro de cada uno de los cinco criterios de evaluación. Es importante tener en cuenta que cada nivel de logro representa el requisito </w:t>
      </w:r>
      <w:r w:rsidRPr="009F07E0">
        <w:rPr>
          <w:rFonts w:eastAsia="Times New Roman" w:cstheme="minorHAnsi"/>
          <w:b/>
          <w:bCs/>
          <w:lang w:eastAsia="es-EC"/>
        </w:rPr>
        <w:t xml:space="preserve">mínimo </w:t>
      </w:r>
      <w:r w:rsidRPr="009F07E0">
        <w:rPr>
          <w:rFonts w:eastAsia="Times New Roman" w:cstheme="minorHAnsi"/>
          <w:lang w:eastAsia="es-EC"/>
        </w:rPr>
        <w:t xml:space="preserve">para que se otorgue dicho nivel. La nota final de cada exploración se obtiene por medio de la suma de los puntos obtenidos en cada criterio. Se debe tener en cuenta que los descriptores para el criterio E son distintos en Matemáticas NM y Matemáticas NS.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nota final máxima es 20.</w:t>
      </w:r>
    </w:p>
    <w:p w:rsidR="009F07E0" w:rsidRPr="009F07E0" w:rsidRDefault="009F07E0" w:rsidP="009F07E0">
      <w:pPr>
        <w:spacing w:before="100" w:beforeAutospacing="1" w:after="100" w:afterAutospacing="1" w:line="240" w:lineRule="auto"/>
        <w:jc w:val="both"/>
        <w:outlineLvl w:val="2"/>
        <w:rPr>
          <w:rFonts w:eastAsia="Times New Roman" w:cstheme="minorHAnsi"/>
          <w:b/>
          <w:bCs/>
          <w:i/>
          <w:u w:val="single"/>
          <w:lang w:eastAsia="es-EC"/>
        </w:rPr>
      </w:pPr>
      <w:r w:rsidRPr="009F07E0">
        <w:rPr>
          <w:rFonts w:eastAsia="Times New Roman" w:cstheme="minorHAnsi"/>
          <w:b/>
          <w:bCs/>
          <w:i/>
          <w:u w:val="single"/>
          <w:lang w:eastAsia="es-EC"/>
        </w:rPr>
        <w:t>Aplicación de los criterios de evaluación</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El método de evaluación utilizado se basa en criterios establecidos; es decir, cada exploración de los alumnos se evalúa en relación con criterios de evaluación determinados y no en relación con el trabajo de otros alumnos.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Cada exploración presentada para Matemáticas NM o Matemáticas NS se evalúa sobre la base de los cinco criterios (A a E). Para cada criterio de evaluación se describen diferentes niveles de logro, que se centran en aspectos positivos. La descripción de cada nivel de logro representa el requisito mínimo para alcanzar dicho nivel.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El objetivo es encontrar, para cada criterio, el descriptor de nivel que exprese de la forma más adecuada el nivel de logro alcanzado por el alumno.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Los profesores deben leer la descripción de cada nivel de logro, empezando por el nivel 0 y hasta llegar al descriptor que describa un nivel de logro que el alumno </w:t>
      </w:r>
      <w:r w:rsidRPr="009F07E0">
        <w:rPr>
          <w:rFonts w:eastAsia="Times New Roman" w:cstheme="minorHAnsi"/>
          <w:b/>
          <w:bCs/>
          <w:lang w:eastAsia="es-EC"/>
        </w:rPr>
        <w:t xml:space="preserve">no </w:t>
      </w:r>
      <w:r w:rsidRPr="009F07E0">
        <w:rPr>
          <w:rFonts w:eastAsia="Times New Roman" w:cstheme="minorHAnsi"/>
          <w:lang w:eastAsia="es-EC"/>
        </w:rPr>
        <w:t xml:space="preserve">haya alcanzado. El nivel que alcance el alumno será, por tanto, el inmediatamente anterior, y es el que se deberá asignar.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Por ejemplo, al considerar niveles de logro consecutivos para un determinado criterio, si la descripción correspondiente al nivel 3 no es apropiada, entonces se deberá asignar el nivel 2.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Para cada criterio deben utilizarse solamente números enteros y no fracciones o decimales.</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lastRenderedPageBreak/>
        <w:t xml:space="preserve">Los niveles de logro más altos no implican un trabajo perfecto y los profesores no deben dudar en conceder los niveles extremos, incluido el 0, si describen apropiadamente el trabajo que se está evaluando.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Un alumno que alcance un nivel de logro alto en un criterio no necesariamente alcanzará niveles altos en los demás criterios. Igualmente, un alumno que alcance un nivel de logro bajo en un criterio no necesariamente alcanzará niveles bajos en los demás criterios. Los profesores no deben suponer que la evaluación general de los alumnos haya de dar como resultado una distribución determinada de puntuaciones.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Se espera que los alumnos tengan acceso a los criterios de evaluación en todo momento. Los descriptores de los niveles de logro para cada criterio de evaluación se ofrecen en las tablas de la sección que figura a continuación. En las tablas, para cada nivel de logro, se incluye un enlace a una exploración en este material de ayuda al profesor que alcanzó dicho nivel para ese criterio determinado.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b/>
          <w:bCs/>
          <w:lang w:eastAsia="es-EC"/>
        </w:rPr>
        <w:t xml:space="preserve">Se debe hacer saber a los alumnos que no recibirán una calificación final para Matemáticas NM o Matemáticas NS si no presentan una exploración. </w:t>
      </w:r>
    </w:p>
    <w:p w:rsidR="009F07E0" w:rsidRPr="009F07E0" w:rsidRDefault="009F07E0" w:rsidP="009F07E0">
      <w:pPr>
        <w:spacing w:before="100" w:beforeAutospacing="1" w:after="100" w:afterAutospacing="1" w:line="240" w:lineRule="auto"/>
        <w:jc w:val="both"/>
        <w:outlineLvl w:val="2"/>
        <w:rPr>
          <w:rFonts w:eastAsia="Times New Roman" w:cstheme="minorHAnsi"/>
          <w:b/>
          <w:bCs/>
          <w:i/>
          <w:u w:val="single"/>
          <w:lang w:eastAsia="es-EC"/>
        </w:rPr>
      </w:pPr>
      <w:r w:rsidRPr="009F07E0">
        <w:rPr>
          <w:rFonts w:eastAsia="Times New Roman" w:cstheme="minorHAnsi"/>
          <w:b/>
          <w:bCs/>
          <w:i/>
          <w:u w:val="single"/>
          <w:lang w:eastAsia="es-EC"/>
        </w:rPr>
        <w:t>Niveles de logro</w:t>
      </w:r>
    </w:p>
    <w:p w:rsidR="009F07E0" w:rsidRPr="009F07E0" w:rsidRDefault="009F07E0" w:rsidP="009F07E0">
      <w:pPr>
        <w:spacing w:before="100" w:beforeAutospacing="1" w:after="100" w:afterAutospacing="1" w:line="240" w:lineRule="auto"/>
        <w:jc w:val="both"/>
        <w:outlineLvl w:val="2"/>
        <w:rPr>
          <w:rFonts w:eastAsia="Times New Roman" w:cstheme="minorHAnsi"/>
          <w:b/>
          <w:bCs/>
          <w:i/>
          <w:u w:val="single"/>
          <w:lang w:eastAsia="es-EC"/>
        </w:rPr>
      </w:pPr>
      <w:r w:rsidRPr="009F07E0">
        <w:rPr>
          <w:rFonts w:eastAsia="Times New Roman" w:cstheme="minorHAnsi"/>
          <w:b/>
          <w:bCs/>
          <w:i/>
          <w:u w:val="single"/>
          <w:lang w:eastAsia="es-EC"/>
        </w:rPr>
        <w:t>Criterio A: Comunicación</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Este criterio evalúa la organización y la coherencia de la exploración. Una exploración bien organizada consta de una introducción, unas bases o fundamentos (incluida la explicación de por qué se eligió el tema), una descripción del objetivo general de la exploración y una conclusión. Una exploración coherente está desarrollada de modo lógico y es fácil de seguir.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i/>
          <w:iCs/>
          <w:lang w:eastAsia="es-EC"/>
        </w:rPr>
        <w:t>Se deben incluir los gráficos, las tablas y los diagramas donde corresponda en el trabajo y no adjuntarlos como anexos al final del documento.</w:t>
      </w:r>
      <w:r w:rsidRPr="009F07E0">
        <w:rPr>
          <w:rFonts w:eastAsia="Times New Roman" w:cstheme="minorHAnsi"/>
          <w:lang w:eastAsia="es-EC"/>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3"/>
        <w:gridCol w:w="8385"/>
      </w:tblGrid>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Nivel</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Descriptor de nivel</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0</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La exploración no alcanza ninguno de los niveles especificados por los descriptores que figuran a continuación. </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1</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exploración tiene cierta coherencia.</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2</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exploración tiene cierta coherencia y muestra cierta organización.</w:t>
            </w:r>
            <w:r w:rsidR="003B7493">
              <w:rPr>
                <w:rFonts w:eastAsia="Times New Roman" w:cstheme="minorHAnsi"/>
                <w:lang w:eastAsia="es-EC"/>
              </w:rPr>
              <w:t xml:space="preserve"> </w:t>
            </w:r>
            <w:hyperlink r:id="rId7" w:history="1">
              <w:r w:rsidRPr="009F07E0">
                <w:rPr>
                  <w:rFonts w:eastAsia="Times New Roman" w:cstheme="minorHAnsi"/>
                  <w:b/>
                  <w:bCs/>
                  <w:color w:val="0000FF"/>
                  <w:u w:val="single"/>
                  <w:lang w:eastAsia="es-EC"/>
                </w:rPr>
                <w:t>Ejemplo 1</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3</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exploración es coherente y está bien organizada.</w:t>
            </w:r>
            <w:r w:rsidR="003B7493">
              <w:rPr>
                <w:rFonts w:eastAsia="Times New Roman" w:cstheme="minorHAnsi"/>
                <w:lang w:eastAsia="es-EC"/>
              </w:rPr>
              <w:t xml:space="preserve"> </w:t>
            </w:r>
            <w:hyperlink r:id="rId8" w:history="1">
              <w:r w:rsidRPr="009F07E0">
                <w:rPr>
                  <w:rFonts w:eastAsia="Times New Roman" w:cstheme="minorHAnsi"/>
                  <w:b/>
                  <w:bCs/>
                  <w:color w:val="0000FF"/>
                  <w:u w:val="single"/>
                  <w:lang w:eastAsia="es-EC"/>
                </w:rPr>
                <w:t>Ejemplo 8</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4</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exploración es coherente, está bien organizada, y es concisa y completa.</w:t>
            </w:r>
            <w:r w:rsidR="003B7493">
              <w:rPr>
                <w:rFonts w:eastAsia="Times New Roman" w:cstheme="minorHAnsi"/>
                <w:lang w:eastAsia="es-EC"/>
              </w:rPr>
              <w:t xml:space="preserve"> </w:t>
            </w:r>
            <w:hyperlink r:id="rId9" w:history="1">
              <w:r w:rsidRPr="009F07E0">
                <w:rPr>
                  <w:rFonts w:eastAsia="Times New Roman" w:cstheme="minorHAnsi"/>
                  <w:b/>
                  <w:bCs/>
                  <w:color w:val="0000FF"/>
                  <w:u w:val="single"/>
                  <w:lang w:eastAsia="es-EC"/>
                </w:rPr>
                <w:t>Ejemplo 9</w:t>
              </w:r>
              <w:r w:rsidRPr="009F07E0">
                <w:rPr>
                  <w:rFonts w:eastAsia="Times New Roman" w:cstheme="minorHAnsi"/>
                  <w:color w:val="0000FF"/>
                  <w:u w:val="single"/>
                  <w:lang w:eastAsia="es-EC"/>
                </w:rPr>
                <w:t xml:space="preserve"> </w:t>
              </w:r>
            </w:hyperlink>
          </w:p>
        </w:tc>
      </w:tr>
    </w:tbl>
    <w:p w:rsidR="003B7493" w:rsidRDefault="003B7493" w:rsidP="009F07E0">
      <w:pPr>
        <w:spacing w:before="100" w:beforeAutospacing="1" w:after="100" w:afterAutospacing="1" w:line="240" w:lineRule="auto"/>
        <w:jc w:val="both"/>
        <w:outlineLvl w:val="3"/>
        <w:rPr>
          <w:rFonts w:eastAsia="Times New Roman" w:cstheme="minorHAnsi"/>
          <w:b/>
          <w:bCs/>
          <w:i/>
          <w:u w:val="single"/>
          <w:lang w:eastAsia="es-EC"/>
        </w:rPr>
      </w:pPr>
    </w:p>
    <w:p w:rsidR="003B7493" w:rsidRDefault="003B7493" w:rsidP="009F07E0">
      <w:pPr>
        <w:spacing w:before="100" w:beforeAutospacing="1" w:after="100" w:afterAutospacing="1" w:line="240" w:lineRule="auto"/>
        <w:jc w:val="both"/>
        <w:outlineLvl w:val="3"/>
        <w:rPr>
          <w:rFonts w:eastAsia="Times New Roman" w:cstheme="minorHAnsi"/>
          <w:b/>
          <w:bCs/>
          <w:i/>
          <w:u w:val="single"/>
          <w:lang w:eastAsia="es-EC"/>
        </w:rPr>
      </w:pPr>
    </w:p>
    <w:p w:rsidR="003B7493" w:rsidRDefault="003B7493" w:rsidP="009F07E0">
      <w:pPr>
        <w:spacing w:before="100" w:beforeAutospacing="1" w:after="100" w:afterAutospacing="1" w:line="240" w:lineRule="auto"/>
        <w:jc w:val="both"/>
        <w:outlineLvl w:val="3"/>
        <w:rPr>
          <w:rFonts w:eastAsia="Times New Roman" w:cstheme="minorHAnsi"/>
          <w:b/>
          <w:bCs/>
          <w:i/>
          <w:u w:val="single"/>
          <w:lang w:eastAsia="es-EC"/>
        </w:rPr>
      </w:pPr>
    </w:p>
    <w:p w:rsidR="009F07E0" w:rsidRPr="009F07E0" w:rsidRDefault="009F07E0" w:rsidP="009F07E0">
      <w:pPr>
        <w:spacing w:before="100" w:beforeAutospacing="1" w:after="100" w:afterAutospacing="1" w:line="240" w:lineRule="auto"/>
        <w:jc w:val="both"/>
        <w:outlineLvl w:val="3"/>
        <w:rPr>
          <w:rFonts w:eastAsia="Times New Roman" w:cstheme="minorHAnsi"/>
          <w:b/>
          <w:bCs/>
          <w:i/>
          <w:u w:val="single"/>
          <w:lang w:eastAsia="es-EC"/>
        </w:rPr>
      </w:pPr>
      <w:r w:rsidRPr="009F07E0">
        <w:rPr>
          <w:rFonts w:eastAsia="Times New Roman" w:cstheme="minorHAnsi"/>
          <w:b/>
          <w:bCs/>
          <w:i/>
          <w:u w:val="single"/>
          <w:lang w:eastAsia="es-EC"/>
        </w:rPr>
        <w:lastRenderedPageBreak/>
        <w:t>Criterio B: Presentación matemática</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Este criterio evalúa en qué medida el alumno es capaz de:</w:t>
      </w:r>
    </w:p>
    <w:p w:rsidR="009F07E0" w:rsidRPr="009F07E0" w:rsidRDefault="009F07E0" w:rsidP="009F07E0">
      <w:pPr>
        <w:numPr>
          <w:ilvl w:val="0"/>
          <w:numId w:val="1"/>
        </w:num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Utilizar el lenguaje matemático apropiado (por ejemplo, notación, símbolos y terminología)</w:t>
      </w:r>
    </w:p>
    <w:p w:rsidR="009F07E0" w:rsidRPr="009F07E0" w:rsidRDefault="009F07E0" w:rsidP="009F07E0">
      <w:pPr>
        <w:numPr>
          <w:ilvl w:val="0"/>
          <w:numId w:val="1"/>
        </w:num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Definir términos clave, cuando sea necesario</w:t>
      </w:r>
    </w:p>
    <w:p w:rsidR="009F07E0" w:rsidRPr="009F07E0" w:rsidRDefault="009F07E0" w:rsidP="009F07E0">
      <w:pPr>
        <w:numPr>
          <w:ilvl w:val="0"/>
          <w:numId w:val="1"/>
        </w:num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Utilizar múltiples formas de representación matemática, tales como fórmulas, diagramas, tablas, gráficos y modelos, donde resulte apropiado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i/>
          <w:iCs/>
          <w:lang w:eastAsia="es-EC"/>
        </w:rPr>
        <w:t xml:space="preserve">Se espera de los alumnos que utilicen el lenguaje matemático a la hora de comunicar ideas, razonamientos y hallazgos matemáticos. </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i/>
          <w:iCs/>
          <w:lang w:eastAsia="es-EC"/>
        </w:rPr>
        <w:t xml:space="preserve">Se anima a los alumnos a elegir y a utilizar las herramientas tecnológicas apropiadas, como calculadoras de pantalla gráfica, capturas de pantalla, programas de elaboración de gráficos, hojas de cálculo, bases de datos, procesadores de texto y programas de dibujo, según corresponda, con el fin de mejorar la comunicación matemática.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3"/>
        <w:gridCol w:w="8385"/>
      </w:tblGrid>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Nivel</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Descriptor de nivel</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0</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La exploración no alcanza ninguno de los niveles especificados por los descriptores que figuran a continuación. </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1</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presentación matemática es, en cierto grado, adecuada.</w:t>
            </w:r>
            <w:r w:rsidR="003B7493">
              <w:rPr>
                <w:rFonts w:eastAsia="Times New Roman" w:cstheme="minorHAnsi"/>
                <w:lang w:eastAsia="es-EC"/>
              </w:rPr>
              <w:t xml:space="preserve"> </w:t>
            </w:r>
            <w:hyperlink r:id="rId10" w:history="1">
              <w:r w:rsidRPr="009F07E0">
                <w:rPr>
                  <w:rFonts w:eastAsia="Times New Roman" w:cstheme="minorHAnsi"/>
                  <w:b/>
                  <w:bCs/>
                  <w:color w:val="0000FF"/>
                  <w:u w:val="single"/>
                  <w:lang w:eastAsia="es-EC"/>
                </w:rPr>
                <w:t>Ejemplo 4</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2</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presentación matemática es, en su mayor parte, adecuada.</w:t>
            </w:r>
            <w:r w:rsidR="003B7493">
              <w:rPr>
                <w:rFonts w:eastAsia="Times New Roman" w:cstheme="minorHAnsi"/>
                <w:lang w:eastAsia="es-EC"/>
              </w:rPr>
              <w:t xml:space="preserve"> </w:t>
            </w:r>
            <w:hyperlink r:id="rId11" w:history="1">
              <w:r w:rsidRPr="009F07E0">
                <w:rPr>
                  <w:rFonts w:eastAsia="Times New Roman" w:cstheme="minorHAnsi"/>
                  <w:b/>
                  <w:bCs/>
                  <w:color w:val="0000FF"/>
                  <w:u w:val="single"/>
                  <w:lang w:eastAsia="es-EC"/>
                </w:rPr>
                <w:t>Ejemplo 9</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3</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presentación matemática es adecuada en su totalidad.</w:t>
            </w:r>
            <w:r w:rsidR="003B7493">
              <w:rPr>
                <w:rFonts w:eastAsia="Times New Roman" w:cstheme="minorHAnsi"/>
                <w:lang w:eastAsia="es-EC"/>
              </w:rPr>
              <w:t xml:space="preserve"> </w:t>
            </w:r>
            <w:hyperlink r:id="rId12" w:history="1">
              <w:r w:rsidRPr="009F07E0">
                <w:rPr>
                  <w:rFonts w:eastAsia="Times New Roman" w:cstheme="minorHAnsi"/>
                  <w:b/>
                  <w:bCs/>
                  <w:color w:val="0000FF"/>
                  <w:u w:val="single"/>
                  <w:lang w:eastAsia="es-EC"/>
                </w:rPr>
                <w:t>Ejemplo 1</w:t>
              </w:r>
              <w:r w:rsidRPr="009F07E0">
                <w:rPr>
                  <w:rFonts w:eastAsia="Times New Roman" w:cstheme="minorHAnsi"/>
                  <w:color w:val="0000FF"/>
                  <w:u w:val="single"/>
                  <w:lang w:eastAsia="es-EC"/>
                </w:rPr>
                <w:t xml:space="preserve"> </w:t>
              </w:r>
            </w:hyperlink>
          </w:p>
        </w:tc>
      </w:tr>
    </w:tbl>
    <w:p w:rsidR="009F07E0" w:rsidRPr="009F07E0" w:rsidRDefault="009F07E0" w:rsidP="009F07E0">
      <w:pPr>
        <w:spacing w:before="100" w:beforeAutospacing="1" w:after="100" w:afterAutospacing="1" w:line="240" w:lineRule="auto"/>
        <w:jc w:val="both"/>
        <w:outlineLvl w:val="3"/>
        <w:rPr>
          <w:rFonts w:eastAsia="Times New Roman" w:cstheme="minorHAnsi"/>
          <w:b/>
          <w:bCs/>
          <w:i/>
          <w:u w:val="single"/>
          <w:lang w:eastAsia="es-EC"/>
        </w:rPr>
      </w:pPr>
      <w:r w:rsidRPr="009F07E0">
        <w:rPr>
          <w:rFonts w:eastAsia="Times New Roman" w:cstheme="minorHAnsi"/>
          <w:b/>
          <w:bCs/>
          <w:i/>
          <w:u w:val="single"/>
          <w:lang w:eastAsia="es-EC"/>
        </w:rPr>
        <w:t>Criterio C: Compromiso personal</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Este criterio evalúa la medida en que el alumno se compromete con la exploración y la hace propia. El compromiso personal se puede reconocer en distintos atributos y destrezas. Entre ellos se encuentra el pensamiento independiente o creativo, la elección de temas de interés personal y la presentación de ideas matemáticas a su manera.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3"/>
        <w:gridCol w:w="8385"/>
      </w:tblGrid>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Nivel</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Descriptor de nivel</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0</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La exploración no alcanza ninguno de los niveles especificados por los descriptores que figuran a continuación. </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1</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de un compromiso personal limitado o superficial.</w:t>
            </w:r>
            <w:r w:rsidR="003B7493">
              <w:rPr>
                <w:rFonts w:eastAsia="Times New Roman" w:cstheme="minorHAnsi"/>
                <w:lang w:eastAsia="es-EC"/>
              </w:rPr>
              <w:t xml:space="preserve"> </w:t>
            </w:r>
            <w:hyperlink r:id="rId13" w:history="1">
              <w:r w:rsidRPr="009F07E0">
                <w:rPr>
                  <w:rFonts w:eastAsia="Times New Roman" w:cstheme="minorHAnsi"/>
                  <w:b/>
                  <w:bCs/>
                  <w:color w:val="0000FF"/>
                  <w:u w:val="single"/>
                  <w:lang w:eastAsia="es-EC"/>
                </w:rPr>
                <w:t>Ejemplo 3</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2</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de cierto compromiso personal.</w:t>
            </w:r>
            <w:r w:rsidR="003B7493">
              <w:rPr>
                <w:rFonts w:eastAsia="Times New Roman" w:cstheme="minorHAnsi"/>
                <w:lang w:eastAsia="es-EC"/>
              </w:rPr>
              <w:t xml:space="preserve"> </w:t>
            </w:r>
            <w:hyperlink r:id="rId14" w:history="1">
              <w:r w:rsidRPr="009F07E0">
                <w:rPr>
                  <w:rFonts w:eastAsia="Times New Roman" w:cstheme="minorHAnsi"/>
                  <w:b/>
                  <w:bCs/>
                  <w:color w:val="0000FF"/>
                  <w:u w:val="single"/>
                  <w:lang w:eastAsia="es-EC"/>
                </w:rPr>
                <w:t>Ejemplo 5</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3</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de un importante compromiso personal.</w:t>
            </w:r>
            <w:r w:rsidR="003B7493">
              <w:rPr>
                <w:rFonts w:eastAsia="Times New Roman" w:cstheme="minorHAnsi"/>
                <w:lang w:eastAsia="es-EC"/>
              </w:rPr>
              <w:t xml:space="preserve"> </w:t>
            </w:r>
            <w:hyperlink r:id="rId15" w:history="1">
              <w:r w:rsidRPr="009F07E0">
                <w:rPr>
                  <w:rFonts w:eastAsia="Times New Roman" w:cstheme="minorHAnsi"/>
                  <w:b/>
                  <w:bCs/>
                  <w:color w:val="0000FF"/>
                  <w:u w:val="single"/>
                  <w:lang w:eastAsia="es-EC"/>
                </w:rPr>
                <w:t>Ejemplo 7</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4</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numerosos indicios de un excelente compromiso personal.</w:t>
            </w:r>
            <w:r w:rsidR="003B7493">
              <w:rPr>
                <w:rFonts w:eastAsia="Times New Roman" w:cstheme="minorHAnsi"/>
                <w:lang w:eastAsia="es-EC"/>
              </w:rPr>
              <w:t xml:space="preserve"> </w:t>
            </w:r>
            <w:hyperlink r:id="rId16" w:history="1">
              <w:r w:rsidRPr="009F07E0">
                <w:rPr>
                  <w:rFonts w:eastAsia="Times New Roman" w:cstheme="minorHAnsi"/>
                  <w:b/>
                  <w:bCs/>
                  <w:color w:val="0000FF"/>
                  <w:u w:val="single"/>
                  <w:lang w:eastAsia="es-EC"/>
                </w:rPr>
                <w:t>Ejemplo 6</w:t>
              </w:r>
              <w:r w:rsidRPr="009F07E0">
                <w:rPr>
                  <w:rFonts w:eastAsia="Times New Roman" w:cstheme="minorHAnsi"/>
                  <w:color w:val="0000FF"/>
                  <w:u w:val="single"/>
                  <w:lang w:eastAsia="es-EC"/>
                </w:rPr>
                <w:t xml:space="preserve"> </w:t>
              </w:r>
            </w:hyperlink>
          </w:p>
        </w:tc>
      </w:tr>
    </w:tbl>
    <w:p w:rsidR="003B7493" w:rsidRDefault="003B7493" w:rsidP="009F07E0">
      <w:pPr>
        <w:spacing w:before="100" w:beforeAutospacing="1" w:after="100" w:afterAutospacing="1" w:line="240" w:lineRule="auto"/>
        <w:jc w:val="both"/>
        <w:outlineLvl w:val="3"/>
        <w:rPr>
          <w:rFonts w:eastAsia="Times New Roman" w:cstheme="minorHAnsi"/>
          <w:b/>
          <w:bCs/>
          <w:i/>
          <w:u w:val="single"/>
          <w:lang w:eastAsia="es-EC"/>
        </w:rPr>
      </w:pPr>
    </w:p>
    <w:p w:rsidR="009F07E0" w:rsidRPr="009F07E0" w:rsidRDefault="009F07E0" w:rsidP="009F07E0">
      <w:pPr>
        <w:spacing w:before="100" w:beforeAutospacing="1" w:after="100" w:afterAutospacing="1" w:line="240" w:lineRule="auto"/>
        <w:jc w:val="both"/>
        <w:outlineLvl w:val="3"/>
        <w:rPr>
          <w:rFonts w:eastAsia="Times New Roman" w:cstheme="minorHAnsi"/>
          <w:b/>
          <w:bCs/>
          <w:i/>
          <w:u w:val="single"/>
          <w:lang w:eastAsia="es-EC"/>
        </w:rPr>
      </w:pPr>
      <w:r w:rsidRPr="009F07E0">
        <w:rPr>
          <w:rFonts w:eastAsia="Times New Roman" w:cstheme="minorHAnsi"/>
          <w:b/>
          <w:bCs/>
          <w:i/>
          <w:u w:val="single"/>
          <w:lang w:eastAsia="es-EC"/>
        </w:rPr>
        <w:t>Criterio D: Reflexión</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lastRenderedPageBreak/>
        <w:t xml:space="preserve">Este criterio evalúa en qué medida el alumno revisa, analiza y evalúa la exploración. Aunque la reflexión se puede ver en las conclusiones de la exploración, también se puede encontrar a lo largo del trabajo.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3"/>
        <w:gridCol w:w="8385"/>
      </w:tblGrid>
      <w:tr w:rsidR="009F07E0" w:rsidRPr="009F07E0" w:rsidTr="003B7493">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Nivel</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Descriptor de nivel</w:t>
            </w:r>
          </w:p>
        </w:tc>
      </w:tr>
      <w:tr w:rsidR="009F07E0" w:rsidRPr="009F07E0" w:rsidTr="003B7493">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0</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La exploración no alcanza ninguno de los niveles especificados por los descriptores que figuran a continuación. </w:t>
            </w:r>
          </w:p>
        </w:tc>
      </w:tr>
      <w:tr w:rsidR="009F07E0" w:rsidRPr="009F07E0" w:rsidTr="003B7493">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1</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de una reflexión limitada o superficial.</w:t>
            </w:r>
            <w:r w:rsidR="003B7493">
              <w:rPr>
                <w:rFonts w:eastAsia="Times New Roman" w:cstheme="minorHAnsi"/>
                <w:lang w:eastAsia="es-EC"/>
              </w:rPr>
              <w:t xml:space="preserve"> </w:t>
            </w:r>
            <w:hyperlink r:id="rId17" w:history="1">
              <w:r w:rsidRPr="009F07E0">
                <w:rPr>
                  <w:rFonts w:eastAsia="Times New Roman" w:cstheme="minorHAnsi"/>
                  <w:b/>
                  <w:bCs/>
                  <w:color w:val="0000FF"/>
                  <w:u w:val="single"/>
                  <w:lang w:eastAsia="es-EC"/>
                </w:rPr>
                <w:t>Ejemplo 5</w:t>
              </w:r>
              <w:r w:rsidRPr="009F07E0">
                <w:rPr>
                  <w:rFonts w:eastAsia="Times New Roman" w:cstheme="minorHAnsi"/>
                  <w:color w:val="0000FF"/>
                  <w:u w:val="single"/>
                  <w:lang w:eastAsia="es-EC"/>
                </w:rPr>
                <w:t xml:space="preserve"> </w:t>
              </w:r>
            </w:hyperlink>
          </w:p>
        </w:tc>
      </w:tr>
      <w:tr w:rsidR="009F07E0" w:rsidRPr="009F07E0" w:rsidTr="003B7493">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2</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de una reflexión significativa.</w:t>
            </w:r>
            <w:r w:rsidR="003B7493">
              <w:rPr>
                <w:rFonts w:eastAsia="Times New Roman" w:cstheme="minorHAnsi"/>
                <w:lang w:eastAsia="es-EC"/>
              </w:rPr>
              <w:t xml:space="preserve"> </w:t>
            </w:r>
            <w:hyperlink r:id="rId18" w:history="1">
              <w:r w:rsidRPr="009F07E0">
                <w:rPr>
                  <w:rFonts w:eastAsia="Times New Roman" w:cstheme="minorHAnsi"/>
                  <w:b/>
                  <w:bCs/>
                  <w:color w:val="0000FF"/>
                  <w:u w:val="single"/>
                  <w:lang w:eastAsia="es-EC"/>
                </w:rPr>
                <w:t>Ejemp</w:t>
              </w:r>
              <w:r w:rsidRPr="009F07E0">
                <w:rPr>
                  <w:rFonts w:eastAsia="Times New Roman" w:cstheme="minorHAnsi"/>
                  <w:b/>
                  <w:bCs/>
                  <w:color w:val="0000FF"/>
                  <w:u w:val="single"/>
                  <w:lang w:eastAsia="es-EC"/>
                </w:rPr>
                <w:t>l</w:t>
              </w:r>
              <w:r w:rsidRPr="009F07E0">
                <w:rPr>
                  <w:rFonts w:eastAsia="Times New Roman" w:cstheme="minorHAnsi"/>
                  <w:b/>
                  <w:bCs/>
                  <w:color w:val="0000FF"/>
                  <w:u w:val="single"/>
                  <w:lang w:eastAsia="es-EC"/>
                </w:rPr>
                <w:t>o 8</w:t>
              </w:r>
              <w:r w:rsidRPr="009F07E0">
                <w:rPr>
                  <w:rFonts w:eastAsia="Times New Roman" w:cstheme="minorHAnsi"/>
                  <w:color w:val="0000FF"/>
                  <w:u w:val="single"/>
                  <w:lang w:eastAsia="es-EC"/>
                </w:rPr>
                <w:t xml:space="preserve"> </w:t>
              </w:r>
            </w:hyperlink>
          </w:p>
        </w:tc>
      </w:tr>
      <w:tr w:rsidR="009F07E0" w:rsidRPr="009F07E0" w:rsidTr="003B7493">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3</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Hay indicios contundentes de una reflexión crítica.</w:t>
            </w:r>
            <w:r w:rsidR="003B7493">
              <w:rPr>
                <w:rFonts w:eastAsia="Times New Roman" w:cstheme="minorHAnsi"/>
                <w:lang w:eastAsia="es-EC"/>
              </w:rPr>
              <w:t xml:space="preserve"> </w:t>
            </w:r>
            <w:hyperlink r:id="rId19" w:history="1">
              <w:r w:rsidRPr="009F07E0">
                <w:rPr>
                  <w:rFonts w:eastAsia="Times New Roman" w:cstheme="minorHAnsi"/>
                  <w:b/>
                  <w:bCs/>
                  <w:color w:val="0000FF"/>
                  <w:u w:val="single"/>
                  <w:lang w:eastAsia="es-EC"/>
                </w:rPr>
                <w:t>Ejemplo 6</w:t>
              </w:r>
              <w:r w:rsidRPr="009F07E0">
                <w:rPr>
                  <w:rFonts w:eastAsia="Times New Roman" w:cstheme="minorHAnsi"/>
                  <w:color w:val="0000FF"/>
                  <w:u w:val="single"/>
                  <w:lang w:eastAsia="es-EC"/>
                </w:rPr>
                <w:t xml:space="preserve"> </w:t>
              </w:r>
            </w:hyperlink>
          </w:p>
        </w:tc>
      </w:tr>
    </w:tbl>
    <w:p w:rsidR="009F07E0" w:rsidRPr="009F07E0" w:rsidRDefault="009F07E0" w:rsidP="003B7493">
      <w:pPr>
        <w:spacing w:before="100" w:beforeAutospacing="1" w:after="100" w:afterAutospacing="1" w:line="240" w:lineRule="auto"/>
        <w:jc w:val="both"/>
        <w:outlineLvl w:val="3"/>
        <w:rPr>
          <w:rFonts w:eastAsia="Times New Roman" w:cstheme="minorHAnsi"/>
          <w:b/>
          <w:bCs/>
          <w:lang w:eastAsia="es-EC"/>
        </w:rPr>
      </w:pPr>
      <w:r w:rsidRPr="009F07E0">
        <w:rPr>
          <w:rFonts w:eastAsia="Times New Roman" w:cstheme="minorHAnsi"/>
          <w:b/>
          <w:bCs/>
          <w:i/>
          <w:u w:val="single"/>
          <w:lang w:eastAsia="es-EC"/>
        </w:rPr>
        <w:t>Criterio E: Uso de las matemáticas</w:t>
      </w:r>
      <w:r w:rsidR="003B7493">
        <w:rPr>
          <w:rFonts w:eastAsia="Times New Roman" w:cstheme="minorHAnsi"/>
          <w:b/>
          <w:bCs/>
          <w:i/>
          <w:u w:val="single"/>
          <w:lang w:eastAsia="es-EC"/>
        </w:rPr>
        <w:t xml:space="preserve"> </w:t>
      </w:r>
      <w:r w:rsidR="003B7493">
        <w:rPr>
          <w:rFonts w:eastAsia="Times New Roman" w:cstheme="minorHAnsi"/>
          <w:bCs/>
          <w:lang w:eastAsia="es-EC"/>
        </w:rPr>
        <w:t xml:space="preserve">           </w:t>
      </w:r>
      <w:r w:rsidRPr="009F07E0">
        <w:rPr>
          <w:rFonts w:eastAsia="Times New Roman" w:cstheme="minorHAnsi"/>
          <w:b/>
          <w:bCs/>
          <w:lang w:eastAsia="es-EC"/>
        </w:rPr>
        <w:t>Solo en el NM</w:t>
      </w:r>
    </w:p>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Este criterio evalúa en qué medida los alumnos utilizan las matemáticas en la exploración.</w:t>
      </w:r>
      <w:r w:rsidR="003B7493">
        <w:rPr>
          <w:rFonts w:eastAsia="Times New Roman" w:cstheme="minorHAnsi"/>
          <w:lang w:eastAsia="es-EC"/>
        </w:rPr>
        <w:t xml:space="preserve"> </w:t>
      </w:r>
      <w:r w:rsidRPr="009F07E0">
        <w:rPr>
          <w:rFonts w:eastAsia="Times New Roman" w:cstheme="minorHAnsi"/>
          <w:i/>
          <w:iCs/>
          <w:lang w:eastAsia="es-EC"/>
        </w:rPr>
        <w:t>Se espera de los alumnos que elaboren un trabajo que sea acorde con el nivel del curso. Los aspectos matemáticos explorados deben ser, bien parte del programa de estudios, o bien de un nivel similar o superior. Estos aspectos no deben estar basados únicamente en los temas de matemáticas incluidos en los conocimientos previos. Si el nivel de matemáticas no es acorde con el nivel del curso, se puede otorgar, como máximo, dos puntos en este criterio.</w:t>
      </w:r>
      <w:r w:rsidRPr="009F07E0">
        <w:rPr>
          <w:rFonts w:eastAsia="Times New Roman" w:cstheme="minorHAnsi"/>
          <w:lang w:eastAsia="es-EC"/>
        </w:rPr>
        <w:t xml:space="preserve"> </w:t>
      </w:r>
      <w:r w:rsidRPr="009F07E0">
        <w:rPr>
          <w:rFonts w:eastAsia="Times New Roman" w:cstheme="minorHAnsi"/>
          <w:i/>
          <w:iCs/>
          <w:lang w:eastAsia="es-EC"/>
        </w:rPr>
        <w:t>Las matemáticas se pueden considerar correctas incluso si existen errores menores ocasionales, siempre y cuando no desvirtúen el razonamiento matemático o lleven a resultados poco razonables.</w:t>
      </w:r>
      <w:r w:rsidRPr="009F07E0">
        <w:rPr>
          <w:rFonts w:eastAsia="Times New Roman" w:cstheme="minorHAnsi"/>
          <w:lang w:eastAsia="es-EC"/>
        </w:rPr>
        <w:t xml:space="preserve"> </w:t>
      </w:r>
    </w:p>
    <w:tbl>
      <w:tblPr>
        <w:tblW w:w="0" w:type="auto"/>
        <w:tblCellSpacing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tblPr>
      <w:tblGrid>
        <w:gridCol w:w="563"/>
        <w:gridCol w:w="8385"/>
      </w:tblGrid>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Nivel</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b/>
                <w:bCs/>
                <w:lang w:eastAsia="es-EC"/>
              </w:rPr>
            </w:pPr>
            <w:r w:rsidRPr="009F07E0">
              <w:rPr>
                <w:rFonts w:eastAsia="Times New Roman" w:cstheme="minorHAnsi"/>
                <w:b/>
                <w:bCs/>
                <w:lang w:eastAsia="es-EC"/>
              </w:rPr>
              <w:t>Descriptor de nivel</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0</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La exploración no alcanza ninguno de los niveles especificados por los descriptores que figuran a continuación.</w:t>
            </w:r>
            <w:r w:rsidR="003B7493">
              <w:rPr>
                <w:rFonts w:eastAsia="Times New Roman" w:cstheme="minorHAnsi"/>
                <w:lang w:eastAsia="es-EC"/>
              </w:rPr>
              <w:t xml:space="preserve">   </w:t>
            </w:r>
            <w:hyperlink r:id="rId20" w:history="1">
              <w:r w:rsidRPr="009F07E0">
                <w:rPr>
                  <w:rFonts w:eastAsia="Times New Roman" w:cstheme="minorHAnsi"/>
                  <w:b/>
                  <w:bCs/>
                  <w:color w:val="0000FF"/>
                  <w:u w:val="single"/>
                  <w:lang w:eastAsia="es-EC"/>
                </w:rPr>
                <w:t>Ejemplo 3</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1</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Se utilizan unas matemáticas algo pertinentes.</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2</w:t>
            </w:r>
          </w:p>
        </w:tc>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Se utilizan unas matemáticas algo pertinentes. Se demuestra una comprensión limitada.</w:t>
            </w:r>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3</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Se utilizan unas matemáticas pertinentes y acordes con el nivel del curso. Se demuestra una comprensión limitada.</w:t>
            </w:r>
            <w:r w:rsidR="003B7493">
              <w:rPr>
                <w:rFonts w:eastAsia="Times New Roman" w:cstheme="minorHAnsi"/>
                <w:lang w:eastAsia="es-EC"/>
              </w:rPr>
              <w:t xml:space="preserve">  </w:t>
            </w:r>
            <w:hyperlink r:id="rId21" w:history="1">
              <w:r w:rsidRPr="009F07E0">
                <w:rPr>
                  <w:rFonts w:eastAsia="Times New Roman" w:cstheme="minorHAnsi"/>
                  <w:b/>
                  <w:bCs/>
                  <w:color w:val="0000FF"/>
                  <w:u w:val="single"/>
                  <w:lang w:eastAsia="es-EC"/>
                </w:rPr>
                <w:t>Ejemplo 4</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4</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 xml:space="preserve">Se utilizan unas matemáticas pertinentes y acordes con el nivel del curso. Los aspectos matemáticos explorados son parcialmente correctos. Se demuestran cierto conocimiento y cierta comprensión. </w:t>
            </w:r>
            <w:r w:rsidR="003B7493">
              <w:rPr>
                <w:rFonts w:eastAsia="Times New Roman" w:cstheme="minorHAnsi"/>
                <w:lang w:eastAsia="es-EC"/>
              </w:rPr>
              <w:t xml:space="preserve">  </w:t>
            </w:r>
            <w:hyperlink r:id="rId22" w:history="1">
              <w:r w:rsidRPr="009F07E0">
                <w:rPr>
                  <w:rFonts w:eastAsia="Times New Roman" w:cstheme="minorHAnsi"/>
                  <w:b/>
                  <w:bCs/>
                  <w:color w:val="0000FF"/>
                  <w:u w:val="single"/>
                  <w:lang w:eastAsia="es-EC"/>
                </w:rPr>
                <w:t>Ejemplo 9</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5</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Se utilizan unas matemáticas pertinentes y acordes con el nivel del curso. Los aspectos matemáticos explorados son, en su mayor parte, correctos. Se demuestran un conocimiento y una comprensión buenos.</w:t>
            </w:r>
            <w:r w:rsidR="003B7493">
              <w:rPr>
                <w:rFonts w:eastAsia="Times New Roman" w:cstheme="minorHAnsi"/>
                <w:lang w:eastAsia="es-EC"/>
              </w:rPr>
              <w:t xml:space="preserve">  </w:t>
            </w:r>
            <w:hyperlink r:id="rId23" w:history="1">
              <w:r w:rsidRPr="009F07E0">
                <w:rPr>
                  <w:rFonts w:eastAsia="Times New Roman" w:cstheme="minorHAnsi"/>
                  <w:b/>
                  <w:bCs/>
                  <w:color w:val="0000FF"/>
                  <w:u w:val="single"/>
                  <w:lang w:eastAsia="es-EC"/>
                </w:rPr>
                <w:t>Ejemplo 8</w:t>
              </w:r>
              <w:r w:rsidRPr="009F07E0">
                <w:rPr>
                  <w:rFonts w:eastAsia="Times New Roman" w:cstheme="minorHAnsi"/>
                  <w:color w:val="0000FF"/>
                  <w:u w:val="single"/>
                  <w:lang w:eastAsia="es-EC"/>
                </w:rPr>
                <w:t xml:space="preserve"> </w:t>
              </w:r>
            </w:hyperlink>
          </w:p>
        </w:tc>
      </w:tr>
      <w:tr w:rsidR="009F07E0" w:rsidRPr="009F07E0" w:rsidTr="009F07E0">
        <w:trPr>
          <w:tblCellSpacing w:w="15" w:type="dxa"/>
        </w:trPr>
        <w:tc>
          <w:tcPr>
            <w:tcW w:w="0" w:type="auto"/>
            <w:vAlign w:val="center"/>
            <w:hideMark/>
          </w:tcPr>
          <w:p w:rsidR="009F07E0" w:rsidRPr="009F07E0" w:rsidRDefault="009F07E0" w:rsidP="009F07E0">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6</w:t>
            </w:r>
          </w:p>
        </w:tc>
        <w:tc>
          <w:tcPr>
            <w:tcW w:w="0" w:type="auto"/>
            <w:vAlign w:val="center"/>
            <w:hideMark/>
          </w:tcPr>
          <w:p w:rsidR="009F07E0" w:rsidRPr="009F07E0" w:rsidRDefault="009F07E0" w:rsidP="003B7493">
            <w:pPr>
              <w:spacing w:before="100" w:beforeAutospacing="1" w:after="100" w:afterAutospacing="1" w:line="240" w:lineRule="auto"/>
              <w:jc w:val="both"/>
              <w:rPr>
                <w:rFonts w:eastAsia="Times New Roman" w:cstheme="minorHAnsi"/>
                <w:lang w:eastAsia="es-EC"/>
              </w:rPr>
            </w:pPr>
            <w:r w:rsidRPr="009F07E0">
              <w:rPr>
                <w:rFonts w:eastAsia="Times New Roman" w:cstheme="minorHAnsi"/>
                <w:lang w:eastAsia="es-EC"/>
              </w:rPr>
              <w:t>Se utilizan unas matemáticas pertinentes y acordes con el nivel del curso. Los aspectos matemáticos explorados son correctos. Se demuestran un conocimiento y una comprensión sólidos.</w:t>
            </w:r>
            <w:r w:rsidR="003B7493">
              <w:rPr>
                <w:rFonts w:eastAsia="Times New Roman" w:cstheme="minorHAnsi"/>
                <w:lang w:eastAsia="es-EC"/>
              </w:rPr>
              <w:t xml:space="preserve">   </w:t>
            </w:r>
            <w:hyperlink r:id="rId24" w:history="1">
              <w:r w:rsidRPr="009F07E0">
                <w:rPr>
                  <w:rFonts w:eastAsia="Times New Roman" w:cstheme="minorHAnsi"/>
                  <w:b/>
                  <w:bCs/>
                  <w:color w:val="0000FF"/>
                  <w:u w:val="single"/>
                  <w:lang w:eastAsia="es-EC"/>
                </w:rPr>
                <w:t>Ejemplo 2</w:t>
              </w:r>
              <w:r w:rsidRPr="009F07E0">
                <w:rPr>
                  <w:rFonts w:eastAsia="Times New Roman" w:cstheme="minorHAnsi"/>
                  <w:color w:val="0000FF"/>
                  <w:u w:val="single"/>
                  <w:lang w:eastAsia="es-EC"/>
                </w:rPr>
                <w:t xml:space="preserve"> </w:t>
              </w:r>
            </w:hyperlink>
          </w:p>
        </w:tc>
      </w:tr>
    </w:tbl>
    <w:p w:rsidR="009F07E0" w:rsidRPr="003B7493" w:rsidRDefault="009F07E0" w:rsidP="009F07E0">
      <w:pPr>
        <w:spacing w:before="100" w:beforeAutospacing="1" w:after="100" w:afterAutospacing="1" w:line="240" w:lineRule="auto"/>
        <w:jc w:val="both"/>
        <w:outlineLvl w:val="1"/>
        <w:rPr>
          <w:rFonts w:eastAsia="Times New Roman" w:cstheme="minorHAnsi"/>
          <w:b/>
          <w:bCs/>
          <w:sz w:val="20"/>
          <w:szCs w:val="20"/>
          <w:lang w:eastAsia="es-EC"/>
        </w:rPr>
      </w:pPr>
      <w:r w:rsidRPr="003B7493">
        <w:rPr>
          <w:rFonts w:eastAsia="Times New Roman" w:cstheme="minorHAnsi"/>
          <w:b/>
          <w:bCs/>
          <w:sz w:val="20"/>
          <w:szCs w:val="20"/>
          <w:lang w:eastAsia="es-EC"/>
        </w:rPr>
        <w:t>Fuente:</w:t>
      </w:r>
      <w:r w:rsidRPr="003B7493">
        <w:rPr>
          <w:rFonts w:cstheme="minorHAnsi"/>
          <w:sz w:val="20"/>
          <w:szCs w:val="20"/>
        </w:rPr>
        <w:t xml:space="preserve"> </w:t>
      </w:r>
      <w:r w:rsidRPr="003B7493">
        <w:rPr>
          <w:rFonts w:eastAsia="Times New Roman" w:cstheme="minorHAnsi"/>
          <w:b/>
          <w:bCs/>
          <w:sz w:val="20"/>
          <w:szCs w:val="20"/>
          <w:lang w:eastAsia="es-EC"/>
        </w:rPr>
        <w:t>http://xmltwo.ibo.org/publications/DP/Group5/d_5_matsl_tsm_1205_1/html/content/exist/rest/app/tsm.xql@doc=d_5_matsl_tsm_1205_1_s&amp;part=1&amp;chapter=8.html</w:t>
      </w:r>
    </w:p>
    <w:p w:rsidR="009F07E0" w:rsidRPr="009F07E0" w:rsidRDefault="009F07E0" w:rsidP="009F07E0">
      <w:pPr>
        <w:jc w:val="both"/>
        <w:rPr>
          <w:rFonts w:cstheme="minorHAnsi"/>
        </w:rPr>
      </w:pPr>
    </w:p>
    <w:sectPr w:rsidR="009F07E0" w:rsidRPr="009F07E0" w:rsidSect="003B7493">
      <w:headerReference w:type="default" r:id="rId25"/>
      <w:pgSz w:w="12240" w:h="15840"/>
      <w:pgMar w:top="723" w:right="1701" w:bottom="993" w:left="1701" w:header="142"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6DB7" w:rsidRDefault="00EA6DB7" w:rsidP="009F07E0">
      <w:pPr>
        <w:spacing w:after="0" w:line="240" w:lineRule="auto"/>
      </w:pPr>
      <w:r>
        <w:separator/>
      </w:r>
    </w:p>
  </w:endnote>
  <w:endnote w:type="continuationSeparator" w:id="0">
    <w:p w:rsidR="00EA6DB7" w:rsidRDefault="00EA6DB7" w:rsidP="009F07E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6DB7" w:rsidRDefault="00EA6DB7" w:rsidP="009F07E0">
      <w:pPr>
        <w:spacing w:after="0" w:line="240" w:lineRule="auto"/>
      </w:pPr>
      <w:r>
        <w:separator/>
      </w:r>
    </w:p>
  </w:footnote>
  <w:footnote w:type="continuationSeparator" w:id="0">
    <w:p w:rsidR="00EA6DB7" w:rsidRDefault="00EA6DB7" w:rsidP="009F07E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276" w:type="dxa"/>
      <w:jc w:val="center"/>
      <w:tblBorders>
        <w:bottom w:val="single" w:sz="4" w:space="0" w:color="auto"/>
      </w:tblBorders>
      <w:tblLayout w:type="fixed"/>
      <w:tblCellMar>
        <w:left w:w="70" w:type="dxa"/>
        <w:right w:w="70" w:type="dxa"/>
      </w:tblCellMar>
      <w:tblLook w:val="0000"/>
    </w:tblPr>
    <w:tblGrid>
      <w:gridCol w:w="7016"/>
      <w:gridCol w:w="3260"/>
    </w:tblGrid>
    <w:tr w:rsidR="009F07E0" w:rsidTr="00FE1C34">
      <w:trPr>
        <w:cantSplit/>
        <w:trHeight w:hRule="exact" w:val="1134"/>
        <w:jc w:val="center"/>
      </w:trPr>
      <w:tc>
        <w:tcPr>
          <w:tcW w:w="7016" w:type="dxa"/>
          <w:tcBorders>
            <w:bottom w:val="single" w:sz="4" w:space="0" w:color="auto"/>
          </w:tcBorders>
          <w:vAlign w:val="center"/>
        </w:tcPr>
        <w:p w:rsidR="009F07E0" w:rsidRPr="0069247E" w:rsidRDefault="009F07E0" w:rsidP="00FE1C34">
          <w:pPr>
            <w:ind w:left="-1276"/>
            <w:jc w:val="center"/>
            <w:rPr>
              <w:rFonts w:cs="Arial"/>
              <w:b/>
              <w:bCs/>
              <w:color w:val="000080"/>
              <w:sz w:val="36"/>
              <w:szCs w:val="36"/>
              <w:lang w:val="es-AR"/>
            </w:rPr>
          </w:pPr>
          <w:r w:rsidRPr="0069247E">
            <w:rPr>
              <w:rFonts w:cs="Arial"/>
              <w:b/>
              <w:bCs/>
              <w:color w:val="000080"/>
              <w:sz w:val="36"/>
              <w:szCs w:val="36"/>
              <w:lang w:val="es-AR"/>
            </w:rPr>
            <w:t xml:space="preserve">             </w:t>
          </w:r>
        </w:p>
        <w:p w:rsidR="009F07E0" w:rsidRPr="00BB13AE" w:rsidRDefault="009F07E0" w:rsidP="00FE1C34">
          <w:pPr>
            <w:ind w:left="-1276"/>
            <w:jc w:val="center"/>
            <w:rPr>
              <w:b/>
              <w:bCs/>
              <w:color w:val="000080"/>
              <w:sz w:val="28"/>
              <w:lang w:val="es-AR"/>
            </w:rPr>
          </w:pPr>
          <w:r w:rsidRPr="0069247E">
            <w:rPr>
              <w:rFonts w:cs="Arial"/>
              <w:b/>
              <w:bCs/>
              <w:color w:val="000080"/>
              <w:sz w:val="36"/>
              <w:szCs w:val="36"/>
              <w:lang w:val="es-AR"/>
            </w:rPr>
            <w:t xml:space="preserve">             Unidad Educativa Monte Tabor Nazaret</w:t>
          </w:r>
        </w:p>
        <w:p w:rsidR="009F07E0" w:rsidRPr="00BB13AE" w:rsidRDefault="009F07E0" w:rsidP="00FE1C34">
          <w:pPr>
            <w:ind w:left="-1276"/>
            <w:jc w:val="right"/>
            <w:rPr>
              <w:b/>
              <w:bCs/>
              <w:color w:val="000080"/>
              <w:sz w:val="24"/>
              <w:lang w:val="es-ES"/>
            </w:rPr>
          </w:pPr>
          <w:r>
            <w:rPr>
              <w:b/>
              <w:bCs/>
              <w:color w:val="000080"/>
              <w:sz w:val="24"/>
              <w:lang w:val="es-ES"/>
            </w:rPr>
            <w:t>Área de Física (AF)</w:t>
          </w:r>
        </w:p>
      </w:tc>
      <w:tc>
        <w:tcPr>
          <w:tcW w:w="3260" w:type="dxa"/>
          <w:tcBorders>
            <w:bottom w:val="single" w:sz="4" w:space="0" w:color="auto"/>
          </w:tcBorders>
        </w:tcPr>
        <w:p w:rsidR="009F07E0" w:rsidRPr="00BB13AE" w:rsidRDefault="009F07E0" w:rsidP="00FE1C34">
          <w:pPr>
            <w:spacing w:before="40"/>
            <w:ind w:left="-362" w:right="-70"/>
            <w:jc w:val="right"/>
            <w:rPr>
              <w:color w:val="000080"/>
            </w:rPr>
          </w:pPr>
        </w:p>
      </w:tc>
    </w:tr>
  </w:tbl>
  <w:p w:rsidR="009F07E0" w:rsidRDefault="009F07E0">
    <w:pPr>
      <w:pStyle w:val="Encabezado"/>
    </w:pPr>
    <w:r>
      <w:rPr>
        <w:b/>
        <w:bCs/>
        <w:color w:val="000080"/>
        <w:sz w:val="24"/>
        <w:lang w:val="es-ES"/>
      </w:rPr>
      <w:tab/>
      <w:t>Área de Matemáticas (AM)</w:t>
    </w:r>
  </w:p>
  <w:p w:rsidR="009F07E0" w:rsidRDefault="009F07E0">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4CA316D"/>
    <w:multiLevelType w:val="multilevel"/>
    <w:tmpl w:val="BCEE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3074"/>
  </w:hdrShapeDefaults>
  <w:footnotePr>
    <w:footnote w:id="-1"/>
    <w:footnote w:id="0"/>
  </w:footnotePr>
  <w:endnotePr>
    <w:endnote w:id="-1"/>
    <w:endnote w:id="0"/>
  </w:endnotePr>
  <w:compat/>
  <w:rsids>
    <w:rsidRoot w:val="009F07E0"/>
    <w:rsid w:val="000B46A0"/>
    <w:rsid w:val="00317E34"/>
    <w:rsid w:val="003B7493"/>
    <w:rsid w:val="004549F7"/>
    <w:rsid w:val="004B6E64"/>
    <w:rsid w:val="004D39F3"/>
    <w:rsid w:val="009F07E0"/>
    <w:rsid w:val="00BF592F"/>
    <w:rsid w:val="00C40987"/>
    <w:rsid w:val="00EA6DB7"/>
    <w:rsid w:val="00F36BD3"/>
  </w:rsids>
  <m:mathPr>
    <m:mathFont m:val="Cambria Math"/>
    <m:brkBin m:val="before"/>
    <m:brkBinSub m:val="--"/>
    <m:smallFrac m:val="off"/>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17E34"/>
  </w:style>
  <w:style w:type="paragraph" w:styleId="Ttulo2">
    <w:name w:val="heading 2"/>
    <w:basedOn w:val="Normal"/>
    <w:link w:val="Ttulo2Car"/>
    <w:uiPriority w:val="9"/>
    <w:qFormat/>
    <w:rsid w:val="009F07E0"/>
    <w:pPr>
      <w:spacing w:before="100" w:beforeAutospacing="1" w:after="100" w:afterAutospacing="1" w:line="240" w:lineRule="auto"/>
      <w:outlineLvl w:val="1"/>
    </w:pPr>
    <w:rPr>
      <w:rFonts w:ascii="Times New Roman" w:eastAsia="Times New Roman" w:hAnsi="Times New Roman" w:cs="Times New Roman"/>
      <w:b/>
      <w:bCs/>
      <w:sz w:val="36"/>
      <w:szCs w:val="36"/>
      <w:lang w:eastAsia="es-EC"/>
    </w:rPr>
  </w:style>
  <w:style w:type="paragraph" w:styleId="Ttulo3">
    <w:name w:val="heading 3"/>
    <w:basedOn w:val="Normal"/>
    <w:link w:val="Ttulo3Car"/>
    <w:uiPriority w:val="9"/>
    <w:qFormat/>
    <w:rsid w:val="009F07E0"/>
    <w:pPr>
      <w:spacing w:before="100" w:beforeAutospacing="1" w:after="100" w:afterAutospacing="1" w:line="240" w:lineRule="auto"/>
      <w:outlineLvl w:val="2"/>
    </w:pPr>
    <w:rPr>
      <w:rFonts w:ascii="Times New Roman" w:eastAsia="Times New Roman" w:hAnsi="Times New Roman" w:cs="Times New Roman"/>
      <w:b/>
      <w:bCs/>
      <w:sz w:val="27"/>
      <w:szCs w:val="27"/>
      <w:lang w:eastAsia="es-EC"/>
    </w:rPr>
  </w:style>
  <w:style w:type="paragraph" w:styleId="Ttulo4">
    <w:name w:val="heading 4"/>
    <w:basedOn w:val="Normal"/>
    <w:link w:val="Ttulo4Car"/>
    <w:uiPriority w:val="9"/>
    <w:qFormat/>
    <w:rsid w:val="009F07E0"/>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link w:val="Ttulo5Car"/>
    <w:uiPriority w:val="9"/>
    <w:qFormat/>
    <w:rsid w:val="009F07E0"/>
    <w:pPr>
      <w:spacing w:before="100" w:beforeAutospacing="1" w:after="100" w:afterAutospacing="1" w:line="240" w:lineRule="auto"/>
      <w:outlineLvl w:val="4"/>
    </w:pPr>
    <w:rPr>
      <w:rFonts w:ascii="Times New Roman" w:eastAsia="Times New Roman" w:hAnsi="Times New Roman" w:cs="Times New Roman"/>
      <w:b/>
      <w:bCs/>
      <w:sz w:val="20"/>
      <w:szCs w:val="20"/>
      <w:lang w:eastAsia="es-EC"/>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uiPriority w:val="9"/>
    <w:rsid w:val="009F07E0"/>
    <w:rPr>
      <w:rFonts w:ascii="Times New Roman" w:eastAsia="Times New Roman" w:hAnsi="Times New Roman" w:cs="Times New Roman"/>
      <w:b/>
      <w:bCs/>
      <w:sz w:val="36"/>
      <w:szCs w:val="36"/>
      <w:lang w:eastAsia="es-EC"/>
    </w:rPr>
  </w:style>
  <w:style w:type="character" w:customStyle="1" w:styleId="Ttulo3Car">
    <w:name w:val="Título 3 Car"/>
    <w:basedOn w:val="Fuentedeprrafopredeter"/>
    <w:link w:val="Ttulo3"/>
    <w:uiPriority w:val="9"/>
    <w:rsid w:val="009F07E0"/>
    <w:rPr>
      <w:rFonts w:ascii="Times New Roman" w:eastAsia="Times New Roman" w:hAnsi="Times New Roman" w:cs="Times New Roman"/>
      <w:b/>
      <w:bCs/>
      <w:sz w:val="27"/>
      <w:szCs w:val="27"/>
      <w:lang w:eastAsia="es-EC"/>
    </w:rPr>
  </w:style>
  <w:style w:type="character" w:customStyle="1" w:styleId="Ttulo4Car">
    <w:name w:val="Título 4 Car"/>
    <w:basedOn w:val="Fuentedeprrafopredeter"/>
    <w:link w:val="Ttulo4"/>
    <w:uiPriority w:val="9"/>
    <w:rsid w:val="009F07E0"/>
    <w:rPr>
      <w:rFonts w:ascii="Times New Roman" w:eastAsia="Times New Roman" w:hAnsi="Times New Roman" w:cs="Times New Roman"/>
      <w:b/>
      <w:bCs/>
      <w:sz w:val="24"/>
      <w:szCs w:val="24"/>
      <w:lang w:eastAsia="es-EC"/>
    </w:rPr>
  </w:style>
  <w:style w:type="character" w:customStyle="1" w:styleId="Ttulo5Car">
    <w:name w:val="Título 5 Car"/>
    <w:basedOn w:val="Fuentedeprrafopredeter"/>
    <w:link w:val="Ttulo5"/>
    <w:uiPriority w:val="9"/>
    <w:rsid w:val="009F07E0"/>
    <w:rPr>
      <w:rFonts w:ascii="Times New Roman" w:eastAsia="Times New Roman" w:hAnsi="Times New Roman" w:cs="Times New Roman"/>
      <w:b/>
      <w:bCs/>
      <w:sz w:val="20"/>
      <w:szCs w:val="20"/>
      <w:lang w:eastAsia="es-EC"/>
    </w:rPr>
  </w:style>
  <w:style w:type="paragraph" w:styleId="NormalWeb">
    <w:name w:val="Normal (Web)"/>
    <w:basedOn w:val="Normal"/>
    <w:uiPriority w:val="99"/>
    <w:semiHidden/>
    <w:unhideWhenUsed/>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customStyle="1" w:styleId="tableheader">
    <w:name w:val="tableheader"/>
    <w:basedOn w:val="Normal"/>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customStyle="1" w:styleId="tableachievementdescriptor">
    <w:name w:val="tableachievementdescriptor"/>
    <w:basedOn w:val="Normal"/>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Textoennegrita">
    <w:name w:val="Strong"/>
    <w:basedOn w:val="Fuentedeprrafopredeter"/>
    <w:uiPriority w:val="22"/>
    <w:qFormat/>
    <w:rsid w:val="009F07E0"/>
    <w:rPr>
      <w:b/>
      <w:bCs/>
    </w:rPr>
  </w:style>
  <w:style w:type="character" w:styleId="nfasis">
    <w:name w:val="Emphasis"/>
    <w:basedOn w:val="Fuentedeprrafopredeter"/>
    <w:uiPriority w:val="20"/>
    <w:qFormat/>
    <w:rsid w:val="009F07E0"/>
    <w:rPr>
      <w:i/>
      <w:iCs/>
    </w:rPr>
  </w:style>
  <w:style w:type="paragraph" w:customStyle="1" w:styleId="tableheadercentred">
    <w:name w:val="tableheadercentred"/>
    <w:basedOn w:val="Normal"/>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customStyle="1" w:styleId="tablebodycentred">
    <w:name w:val="tablebodycentred"/>
    <w:basedOn w:val="Normal"/>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customStyle="1" w:styleId="tablebody">
    <w:name w:val="tablebody"/>
    <w:basedOn w:val="Normal"/>
    <w:rsid w:val="009F07E0"/>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styleId="Hipervnculo">
    <w:name w:val="Hyperlink"/>
    <w:basedOn w:val="Fuentedeprrafopredeter"/>
    <w:uiPriority w:val="99"/>
    <w:semiHidden/>
    <w:unhideWhenUsed/>
    <w:rsid w:val="009F07E0"/>
    <w:rPr>
      <w:color w:val="0000FF"/>
      <w:u w:val="single"/>
    </w:rPr>
  </w:style>
  <w:style w:type="paragraph" w:styleId="Encabezado">
    <w:name w:val="header"/>
    <w:basedOn w:val="Normal"/>
    <w:link w:val="EncabezadoCar"/>
    <w:uiPriority w:val="99"/>
    <w:unhideWhenUsed/>
    <w:rsid w:val="009F07E0"/>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9F07E0"/>
  </w:style>
  <w:style w:type="paragraph" w:styleId="Piedepgina">
    <w:name w:val="footer"/>
    <w:basedOn w:val="Normal"/>
    <w:link w:val="PiedepginaCar"/>
    <w:uiPriority w:val="99"/>
    <w:semiHidden/>
    <w:unhideWhenUsed/>
    <w:rsid w:val="009F07E0"/>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semiHidden/>
    <w:rsid w:val="009F07E0"/>
  </w:style>
  <w:style w:type="paragraph" w:styleId="Textodeglobo">
    <w:name w:val="Balloon Text"/>
    <w:basedOn w:val="Normal"/>
    <w:link w:val="TextodegloboCar"/>
    <w:uiPriority w:val="99"/>
    <w:semiHidden/>
    <w:unhideWhenUsed/>
    <w:rsid w:val="009F07E0"/>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9F07E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7019476">
      <w:bodyDiv w:val="1"/>
      <w:marLeft w:val="0"/>
      <w:marRight w:val="0"/>
      <w:marTop w:val="0"/>
      <w:marBottom w:val="0"/>
      <w:divBdr>
        <w:top w:val="none" w:sz="0" w:space="0" w:color="auto"/>
        <w:left w:val="none" w:sz="0" w:space="0" w:color="auto"/>
        <w:bottom w:val="none" w:sz="0" w:space="0" w:color="auto"/>
        <w:right w:val="none" w:sz="0" w:space="0" w:color="auto"/>
      </w:divBdr>
      <w:divsChild>
        <w:div w:id="290215471">
          <w:marLeft w:val="0"/>
          <w:marRight w:val="0"/>
          <w:marTop w:val="0"/>
          <w:marBottom w:val="0"/>
          <w:divBdr>
            <w:top w:val="none" w:sz="0" w:space="0" w:color="auto"/>
            <w:left w:val="none" w:sz="0" w:space="0" w:color="auto"/>
            <w:bottom w:val="none" w:sz="0" w:space="0" w:color="auto"/>
            <w:right w:val="none" w:sz="0" w:space="0" w:color="auto"/>
          </w:divBdr>
        </w:div>
        <w:div w:id="1705246875">
          <w:marLeft w:val="0"/>
          <w:marRight w:val="0"/>
          <w:marTop w:val="0"/>
          <w:marBottom w:val="0"/>
          <w:divBdr>
            <w:top w:val="none" w:sz="0" w:space="0" w:color="auto"/>
            <w:left w:val="none" w:sz="0" w:space="0" w:color="auto"/>
            <w:bottom w:val="none" w:sz="0" w:space="0" w:color="auto"/>
            <w:right w:val="none" w:sz="0" w:space="0" w:color="auto"/>
          </w:divBdr>
        </w:div>
        <w:div w:id="143563673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xmltwo.ibo.org/publications/DP/Group5/d_5_matsl_tsm_1205_1/html/content/exist/rest/app/tsm.xql@doc=d_5_matsl_tsm_1205_1_s&amp;part=2&amp;chapter=10.html" TargetMode="External"/><Relationship Id="rId13" Type="http://schemas.openxmlformats.org/officeDocument/2006/relationships/hyperlink" Target="http://xmltwo.ibo.org/publications/DP/Group5/d_5_matsl_tsm_1205_1/html/content/exist/rest/app/tsm.xql@doc=d_5_matsl_tsm_1205_1_s&amp;part=2&amp;chapter=5.html" TargetMode="External"/><Relationship Id="rId18" Type="http://schemas.openxmlformats.org/officeDocument/2006/relationships/hyperlink" Target="http://xmltwo.ibo.org/publications/DP/Group5/d_5_matsl_tsm_1205_1/html/content/exist/rest/app/tsm.xql@doc=d_5_matsl_tsm_1205_1_s&amp;part=2&amp;chapter=10.htm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xmltwo.ibo.org/publications/DP/Group5/d_5_matsl_tsm_1205_1/html/content/exist/rest/app/tsm.xql@doc=d_5_matsl_tsm_1205_1_s&amp;part=2&amp;chapter=6.html" TargetMode="External"/><Relationship Id="rId7" Type="http://schemas.openxmlformats.org/officeDocument/2006/relationships/hyperlink" Target="http://xmltwo.ibo.org/publications/DP/Group5/d_5_matsl_tsm_1205_1/html/content/exist/rest/app/tsm.xql@doc=d_5_matsl_tsm_1205_1_s&amp;part=2&amp;chapter=3.html" TargetMode="External"/><Relationship Id="rId12" Type="http://schemas.openxmlformats.org/officeDocument/2006/relationships/hyperlink" Target="http://xmltwo.ibo.org/publications/DP/Group5/d_5_matsl_tsm_1205_1/html/content/exist/rest/app/tsm.xql@doc=d_5_matsl_tsm_1205_1_s&amp;part=2&amp;chapter=3.html" TargetMode="External"/><Relationship Id="rId17" Type="http://schemas.openxmlformats.org/officeDocument/2006/relationships/hyperlink" Target="http://xmltwo.ibo.org/publications/DP/Group5/d_5_matsl_tsm_1205_1/html/content/exist/rest/app/tsm.xql@doc=d_5_matsl_tsm_1205_1_s&amp;part=2&amp;chapter=7.html"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xmltwo.ibo.org/publications/DP/Group5/d_5_matsl_tsm_1205_1/html/content/exist/rest/app/tsm.xql@doc=d_5_matsl_tsm_1205_1_s&amp;part=2&amp;chapter=8.html" TargetMode="External"/><Relationship Id="rId20" Type="http://schemas.openxmlformats.org/officeDocument/2006/relationships/hyperlink" Target="http://xmltwo.ibo.org/publications/DP/Group5/d_5_matsl_tsm_1205_1/html/content/exist/rest/app/tsm.xql@doc=d_5_matsl_tsm_1205_1_s&amp;part=2&amp;chapter=5.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xmltwo.ibo.org/publications/DP/Group5/d_5_matsl_tsm_1205_1/html/content/exist/rest/app/tsm.xql@doc=d_5_matsl_tsm_1205_1_s&amp;part=2&amp;chapter=11.html" TargetMode="External"/><Relationship Id="rId24" Type="http://schemas.openxmlformats.org/officeDocument/2006/relationships/hyperlink" Target="http://xmltwo.ibo.org/publications/DP/Group5/d_5_matsl_tsm_1205_1/html/content/exist/rest/app/tsm.xql@doc=d_5_matsl_tsm_1205_1_s&amp;part=2&amp;chapter=4.html" TargetMode="External"/><Relationship Id="rId5" Type="http://schemas.openxmlformats.org/officeDocument/2006/relationships/footnotes" Target="footnotes.xml"/><Relationship Id="rId15" Type="http://schemas.openxmlformats.org/officeDocument/2006/relationships/hyperlink" Target="http://xmltwo.ibo.org/publications/DP/Group5/d_5_matsl_tsm_1205_1/html/content/exist/rest/app/tsm.xql@doc=d_5_matsl_tsm_1205_1_s&amp;part=2&amp;chapter=9.html" TargetMode="External"/><Relationship Id="rId23" Type="http://schemas.openxmlformats.org/officeDocument/2006/relationships/hyperlink" Target="http://xmltwo.ibo.org/publications/DP/Group5/d_5_matsl_tsm_1205_1/html/content/exist/rest/app/tsm.xql@doc=d_5_matsl_tsm_1205_1_s&amp;part=2&amp;chapter=10.html" TargetMode="External"/><Relationship Id="rId10" Type="http://schemas.openxmlformats.org/officeDocument/2006/relationships/hyperlink" Target="http://xmltwo.ibo.org/publications/DP/Group5/d_5_matsl_tsm_1205_1/html/content/exist/rest/app/tsm.xql@doc=d_5_matsl_tsm_1205_1_s&amp;part=2&amp;chapter=6.html" TargetMode="External"/><Relationship Id="rId19" Type="http://schemas.openxmlformats.org/officeDocument/2006/relationships/hyperlink" Target="http://xmltwo.ibo.org/publications/DP/Group5/d_5_matsl_tsm_1205_1/html/content/exist/rest/app/tsm.xql@doc=d_5_matsl_tsm_1205_1_s&amp;part=2&amp;chapter=8.html" TargetMode="External"/><Relationship Id="rId4" Type="http://schemas.openxmlformats.org/officeDocument/2006/relationships/webSettings" Target="webSettings.xml"/><Relationship Id="rId9" Type="http://schemas.openxmlformats.org/officeDocument/2006/relationships/hyperlink" Target="http://xmltwo.ibo.org/publications/DP/Group5/d_5_matsl_tsm_1205_1/html/content/exist/rest/app/tsm.xql@doc=d_5_matsl_tsm_1205_1_s&amp;part=2&amp;chapter=11.html" TargetMode="External"/><Relationship Id="rId14" Type="http://schemas.openxmlformats.org/officeDocument/2006/relationships/hyperlink" Target="http://xmltwo.ibo.org/publications/DP/Group5/d_5_matsl_tsm_1205_1/html/content/exist/rest/app/tsm.xql@doc=d_5_matsl_tsm_1205_1_s&amp;part=2&amp;chapter=7.html" TargetMode="External"/><Relationship Id="rId22" Type="http://schemas.openxmlformats.org/officeDocument/2006/relationships/hyperlink" Target="http://xmltwo.ibo.org/publications/DP/Group5/d_5_matsl_tsm_1205_1/html/content/exist/rest/app/tsm.xql@doc=d_5_matsl_tsm_1205_1_s&amp;part=2&amp;chapter=11.html" TargetMode="External"/><Relationship Id="rId27"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Pages>
  <Words>1815</Words>
  <Characters>9984</Characters>
  <Application>Microsoft Office Word</Application>
  <DocSecurity>0</DocSecurity>
  <Lines>83</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Centeno</dc:creator>
  <cp:lastModifiedBy>David Centeno</cp:lastModifiedBy>
  <cp:revision>1</cp:revision>
  <cp:lastPrinted>2014-01-09T16:11:00Z</cp:lastPrinted>
  <dcterms:created xsi:type="dcterms:W3CDTF">2014-01-09T15:56:00Z</dcterms:created>
  <dcterms:modified xsi:type="dcterms:W3CDTF">2014-01-09T16:18:00Z</dcterms:modified>
</cp:coreProperties>
</file>